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89B18" w14:textId="75A995D8" w:rsidR="00780288" w:rsidRPr="008B6569" w:rsidRDefault="0029524B" w:rsidP="000748BE">
      <w:pPr>
        <w:spacing w:after="0" w:line="240" w:lineRule="auto"/>
        <w:jc w:val="center"/>
        <w:rPr>
          <w:rFonts w:ascii="Bookman Old Style" w:eastAsia="Times New Roman" w:hAnsi="Bookman Old Style" w:cs="Tahoma"/>
          <w:b/>
          <w:bCs/>
          <w:sz w:val="36"/>
          <w:szCs w:val="36"/>
          <w:u w:val="single"/>
        </w:rPr>
      </w:pPr>
      <w:r w:rsidRPr="008B6569">
        <w:rPr>
          <w:rFonts w:ascii="Bookman Old Style" w:eastAsia="Times New Roman" w:hAnsi="Bookman Old Style" w:cs="Tahoma"/>
          <w:b/>
          <w:bCs/>
          <w:sz w:val="36"/>
          <w:szCs w:val="36"/>
          <w:u w:val="single"/>
        </w:rPr>
        <w:t>INTRODUCTION</w:t>
      </w:r>
    </w:p>
    <w:p w14:paraId="05E6666D" w14:textId="77777777" w:rsidR="00780288" w:rsidRPr="008B6569" w:rsidRDefault="00780288" w:rsidP="00780288">
      <w:pPr>
        <w:spacing w:after="0" w:line="240" w:lineRule="auto"/>
        <w:rPr>
          <w:rFonts w:ascii="Bookman Old Style" w:eastAsia="Times New Roman" w:hAnsi="Bookman Old Style" w:cs="Tahoma"/>
          <w:b/>
          <w:bCs/>
          <w:sz w:val="24"/>
          <w:szCs w:val="24"/>
          <w:u w:val="single"/>
        </w:rPr>
      </w:pPr>
    </w:p>
    <w:p w14:paraId="6839ADB7" w14:textId="4E31C344" w:rsidR="000748BE" w:rsidRPr="008B6569" w:rsidRDefault="00FD3617" w:rsidP="000748BE">
      <w:pPr>
        <w:rPr>
          <w:rFonts w:ascii="Bookman Old Style" w:eastAsia="Times New Roman" w:hAnsi="Bookman Old Style" w:cs="Tahoma"/>
          <w:color w:val="000000"/>
          <w:spacing w:val="2"/>
          <w:sz w:val="24"/>
          <w:szCs w:val="24"/>
        </w:rPr>
      </w:pPr>
      <w:r w:rsidRPr="008B6569">
        <w:rPr>
          <w:rFonts w:ascii="Bookman Old Style" w:eastAsia="Times New Roman" w:hAnsi="Bookman Old Style" w:cs="Tahoma"/>
          <w:color w:val="000000"/>
          <w:spacing w:val="2"/>
          <w:sz w:val="24"/>
          <w:szCs w:val="24"/>
        </w:rPr>
        <w:t>Tax Deducted at Source or TDS is the amount which is deducted from the income of an individual by an authori</w:t>
      </w:r>
      <w:r w:rsidR="004947E8" w:rsidRPr="008B6569">
        <w:rPr>
          <w:rFonts w:ascii="Bookman Old Style" w:eastAsia="Times New Roman" w:hAnsi="Bookman Old Style" w:cs="Tahoma"/>
          <w:color w:val="000000"/>
          <w:spacing w:val="2"/>
          <w:sz w:val="24"/>
          <w:szCs w:val="24"/>
        </w:rPr>
        <w:t>z</w:t>
      </w:r>
      <w:r w:rsidRPr="008B6569">
        <w:rPr>
          <w:rFonts w:ascii="Bookman Old Style" w:eastAsia="Times New Roman" w:hAnsi="Bookman Old Style" w:cs="Tahoma"/>
          <w:color w:val="000000"/>
          <w:spacing w:val="2"/>
          <w:sz w:val="24"/>
          <w:szCs w:val="24"/>
        </w:rPr>
        <w:t xml:space="preserve">ed </w:t>
      </w:r>
      <w:proofErr w:type="spellStart"/>
      <w:r w:rsidRPr="008B6569">
        <w:rPr>
          <w:rFonts w:ascii="Bookman Old Style" w:eastAsia="Times New Roman" w:hAnsi="Bookman Old Style" w:cs="Tahoma"/>
          <w:color w:val="000000"/>
          <w:spacing w:val="2"/>
          <w:sz w:val="24"/>
          <w:szCs w:val="24"/>
        </w:rPr>
        <w:t>deductor</w:t>
      </w:r>
      <w:proofErr w:type="spellEnd"/>
      <w:r w:rsidRPr="008B6569">
        <w:rPr>
          <w:rFonts w:ascii="Bookman Old Style" w:eastAsia="Times New Roman" w:hAnsi="Bookman Old Style" w:cs="Tahoma"/>
          <w:color w:val="000000"/>
          <w:spacing w:val="2"/>
          <w:sz w:val="24"/>
          <w:szCs w:val="24"/>
        </w:rPr>
        <w:t xml:space="preserve"> and deposited to the IT department. The TDS can be calculated by following a few simple steps</w:t>
      </w:r>
      <w:r w:rsidR="0029524B" w:rsidRPr="008B6569">
        <w:rPr>
          <w:rFonts w:ascii="Bookman Old Style" w:eastAsia="Times New Roman" w:hAnsi="Bookman Old Style" w:cs="Tahoma"/>
          <w:color w:val="000000"/>
          <w:spacing w:val="2"/>
          <w:sz w:val="24"/>
          <w:szCs w:val="24"/>
        </w:rPr>
        <w:t>.</w:t>
      </w:r>
    </w:p>
    <w:p w14:paraId="7289B70F" w14:textId="1088B94E" w:rsidR="00FD3617" w:rsidRPr="008B6569" w:rsidRDefault="00FD3617" w:rsidP="000748BE">
      <w:pPr>
        <w:pStyle w:val="ListParagraph"/>
        <w:numPr>
          <w:ilvl w:val="0"/>
          <w:numId w:val="5"/>
        </w:numPr>
        <w:ind w:left="0"/>
        <w:rPr>
          <w:rFonts w:ascii="Bookman Old Style" w:eastAsia="Times New Roman" w:hAnsi="Bookman Old Style" w:cs="Tahoma"/>
          <w:b/>
          <w:sz w:val="32"/>
          <w:szCs w:val="32"/>
          <w:lang w:eastAsia="hi-IN" w:bidi="hi-IN"/>
        </w:rPr>
      </w:pPr>
      <w:r w:rsidRPr="008B6569">
        <w:rPr>
          <w:rFonts w:ascii="Bookman Old Style" w:eastAsia="Times New Roman" w:hAnsi="Bookman Old Style" w:cs="Tahoma"/>
          <w:b/>
          <w:sz w:val="32"/>
          <w:szCs w:val="32"/>
          <w:lang w:eastAsia="hi-IN" w:bidi="hi-IN"/>
        </w:rPr>
        <w:t>How is TDS Calculated?</w:t>
      </w:r>
    </w:p>
    <w:p w14:paraId="2840BE66" w14:textId="77777777" w:rsidR="00FD3617" w:rsidRPr="008B6569" w:rsidRDefault="00FD3617" w:rsidP="00FD3617">
      <w:pPr>
        <w:spacing w:after="167" w:line="335" w:lineRule="atLeast"/>
        <w:rPr>
          <w:rFonts w:ascii="Bookman Old Style" w:eastAsia="Times New Roman" w:hAnsi="Bookman Old Style" w:cs="Tahoma"/>
          <w:sz w:val="24"/>
          <w:szCs w:val="24"/>
        </w:rPr>
      </w:pPr>
      <w:r w:rsidRPr="008B6569">
        <w:rPr>
          <w:rFonts w:ascii="Bookman Old Style" w:eastAsia="Times New Roman" w:hAnsi="Bookman Old Style" w:cs="Tahoma"/>
          <w:sz w:val="24"/>
          <w:szCs w:val="24"/>
        </w:rPr>
        <w:t>While the basic salary is fully taxable according to respective tax bracket, some exemptions are available for payments made a</w:t>
      </w:r>
      <w:r w:rsidR="00552422" w:rsidRPr="008B6569">
        <w:rPr>
          <w:rFonts w:ascii="Bookman Old Style" w:eastAsia="Times New Roman" w:hAnsi="Bookman Old Style" w:cs="Tahoma"/>
          <w:sz w:val="24"/>
          <w:szCs w:val="24"/>
        </w:rPr>
        <w:t xml:space="preserve">s allowances and perks. You can </w:t>
      </w:r>
      <w:r w:rsidRPr="008B6569">
        <w:rPr>
          <w:rFonts w:ascii="Bookman Old Style" w:eastAsia="Times New Roman" w:hAnsi="Bookman Old Style" w:cs="Tahoma"/>
          <w:sz w:val="24"/>
          <w:szCs w:val="24"/>
        </w:rPr>
        <w:t>calculate </w:t>
      </w:r>
      <w:hyperlink r:id="rId5" w:history="1">
        <w:r w:rsidRPr="008B6569">
          <w:rPr>
            <w:rFonts w:ascii="Bookman Old Style" w:eastAsia="Times New Roman" w:hAnsi="Bookman Old Style" w:cs="Tahoma"/>
            <w:sz w:val="24"/>
            <w:szCs w:val="24"/>
          </w:rPr>
          <w:t>TDS</w:t>
        </w:r>
      </w:hyperlink>
      <w:r w:rsidRPr="008B6569">
        <w:rPr>
          <w:rFonts w:ascii="Bookman Old Style" w:eastAsia="Times New Roman" w:hAnsi="Bookman Old Style" w:cs="Tahoma"/>
          <w:sz w:val="24"/>
          <w:szCs w:val="24"/>
        </w:rPr>
        <w:t> on the employee’s income by following the below steps.</w:t>
      </w:r>
    </w:p>
    <w:p w14:paraId="56D523F3" w14:textId="7D2192B1"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Calculate gross monthly income as a sum of basic income, allowances</w:t>
      </w:r>
      <w:r w:rsidR="004947E8" w:rsidRPr="008B6569">
        <w:rPr>
          <w:rFonts w:ascii="Bookman Old Style" w:eastAsia="Times New Roman" w:hAnsi="Bookman Old Style" w:cs="Tahoma"/>
          <w:sz w:val="24"/>
          <w:szCs w:val="24"/>
        </w:rPr>
        <w:t>,</w:t>
      </w:r>
      <w:r w:rsidRPr="008B6569">
        <w:rPr>
          <w:rFonts w:ascii="Bookman Old Style" w:eastAsia="Times New Roman" w:hAnsi="Bookman Old Style" w:cs="Tahoma"/>
          <w:sz w:val="24"/>
          <w:szCs w:val="24"/>
        </w:rPr>
        <w:t xml:space="preserve"> and perquisites.</w:t>
      </w:r>
    </w:p>
    <w:p w14:paraId="49D0F366" w14:textId="7CEB8454"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 xml:space="preserve">Calculate available exemptions under Section 10 of the Income Tax Act (ITA). Exemptions are applicable </w:t>
      </w:r>
      <w:r w:rsidR="004947E8" w:rsidRPr="008B6569">
        <w:rPr>
          <w:rFonts w:ascii="Bookman Old Style" w:eastAsia="Times New Roman" w:hAnsi="Bookman Old Style" w:cs="Tahoma"/>
          <w:sz w:val="24"/>
          <w:szCs w:val="24"/>
        </w:rPr>
        <w:t>to</w:t>
      </w:r>
      <w:r w:rsidRPr="008B6569">
        <w:rPr>
          <w:rFonts w:ascii="Bookman Old Style" w:eastAsia="Times New Roman" w:hAnsi="Bookman Old Style" w:cs="Tahoma"/>
          <w:sz w:val="24"/>
          <w:szCs w:val="24"/>
        </w:rPr>
        <w:t xml:space="preserve"> allowances such as medical, HRA, travel.</w:t>
      </w:r>
    </w:p>
    <w:p w14:paraId="70166CE3" w14:textId="77777777"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Reduce exemptions according to step (2) for the gross monthly income calculated in step (1).</w:t>
      </w:r>
    </w:p>
    <w:p w14:paraId="275C42B1" w14:textId="77777777"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As TDS is calculated on yearly income, multiply the corresponding figure from above calculation by 12. This is your yearly taxable income from salary.</w:t>
      </w:r>
    </w:p>
    <w:p w14:paraId="19774E74" w14:textId="77777777"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If you have any other income source such as income from house rent or have incurred losses from paying housing loan interests, add/subtract this amount from the figure in step (4).</w:t>
      </w:r>
    </w:p>
    <w:p w14:paraId="11097CEE" w14:textId="77777777"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 xml:space="preserve">Next, calculate the employee’s investments for the year which fall under Chapter VI-A of ITA, and deduct this amount from the gross income calculated in step (5). An example of this would be exemption of up to Rs.1.5 lakh under Section 80C, which includes investment avenues such as PPF, life insurance premiums, mutual funds, home loan repayment, ELSS, NSC, Sukanya </w:t>
      </w:r>
      <w:proofErr w:type="spellStart"/>
      <w:r w:rsidRPr="008B6569">
        <w:rPr>
          <w:rFonts w:ascii="Bookman Old Style" w:eastAsia="Times New Roman" w:hAnsi="Bookman Old Style" w:cs="Tahoma"/>
          <w:sz w:val="24"/>
          <w:szCs w:val="24"/>
        </w:rPr>
        <w:t>Samriddhi</w:t>
      </w:r>
      <w:proofErr w:type="spellEnd"/>
      <w:r w:rsidRPr="008B6569">
        <w:rPr>
          <w:rFonts w:ascii="Bookman Old Style" w:eastAsia="Times New Roman" w:hAnsi="Bookman Old Style" w:cs="Tahoma"/>
          <w:sz w:val="24"/>
          <w:szCs w:val="24"/>
        </w:rPr>
        <w:t xml:space="preserve"> account and so on.</w:t>
      </w:r>
    </w:p>
    <w:p w14:paraId="340A6032" w14:textId="77777777"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Now, reduce the maximum allowable income tax exemptions on a salary. Currently, income up to Rs.3 lakhs is fully exempt from paying taxes, while income from Rs.3 lakhs to Rs.5 lakhs is taxed at 10%, and Rs.5 lakhs to Rs.10 lakhs income bracket is taxed at 20%. All income above this amount is taxed at 30%.</w:t>
      </w:r>
    </w:p>
    <w:p w14:paraId="0D193EAD" w14:textId="30D4697E" w:rsidR="00FD3617" w:rsidRPr="008B6569" w:rsidRDefault="00FD3617" w:rsidP="000748BE">
      <w:pPr>
        <w:pStyle w:val="ListParagraph"/>
        <w:numPr>
          <w:ilvl w:val="0"/>
          <w:numId w:val="7"/>
        </w:numPr>
        <w:spacing w:after="0" w:line="240" w:lineRule="auto"/>
        <w:ind w:left="27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t>Do note that senior citizen ha</w:t>
      </w:r>
      <w:r w:rsidR="004947E8" w:rsidRPr="008B6569">
        <w:rPr>
          <w:rFonts w:ascii="Bookman Old Style" w:eastAsia="Times New Roman" w:hAnsi="Bookman Old Style" w:cs="Tahoma"/>
          <w:sz w:val="24"/>
          <w:szCs w:val="24"/>
        </w:rPr>
        <w:t>s</w:t>
      </w:r>
      <w:r w:rsidRPr="008B6569">
        <w:rPr>
          <w:rFonts w:ascii="Bookman Old Style" w:eastAsia="Times New Roman" w:hAnsi="Bookman Old Style" w:cs="Tahoma"/>
          <w:sz w:val="24"/>
          <w:szCs w:val="24"/>
        </w:rPr>
        <w:t xml:space="preserve"> different tax slabs and receive higher exemptions than those discussed above.</w:t>
      </w:r>
    </w:p>
    <w:p w14:paraId="1C862487" w14:textId="77777777" w:rsidR="00FD3617" w:rsidRPr="008B6569" w:rsidRDefault="00FD3617" w:rsidP="00FD3617">
      <w:pPr>
        <w:spacing w:after="0" w:line="240" w:lineRule="auto"/>
        <w:ind w:left="251"/>
        <w:rPr>
          <w:rFonts w:ascii="Bookman Old Style" w:eastAsia="Times New Roman" w:hAnsi="Bookman Old Style" w:cs="Tahoma"/>
          <w:sz w:val="24"/>
          <w:szCs w:val="24"/>
        </w:rPr>
      </w:pPr>
    </w:p>
    <w:p w14:paraId="25C6FDAB" w14:textId="67AC7CE5" w:rsidR="00FD3617" w:rsidRPr="008B6569" w:rsidRDefault="00FD3617" w:rsidP="000748BE">
      <w:pPr>
        <w:pStyle w:val="ListParagraph"/>
        <w:numPr>
          <w:ilvl w:val="0"/>
          <w:numId w:val="5"/>
        </w:numPr>
        <w:ind w:left="0"/>
        <w:rPr>
          <w:rFonts w:ascii="Bookman Old Style" w:eastAsia="Times New Roman" w:hAnsi="Bookman Old Style" w:cs="Tahoma"/>
          <w:sz w:val="32"/>
          <w:szCs w:val="32"/>
        </w:rPr>
      </w:pPr>
      <w:r w:rsidRPr="008B6569">
        <w:rPr>
          <w:rFonts w:ascii="Bookman Old Style" w:eastAsia="Times New Roman" w:hAnsi="Bookman Old Style" w:cs="Tahoma"/>
          <w:b/>
          <w:bCs/>
          <w:sz w:val="32"/>
          <w:szCs w:val="32"/>
        </w:rPr>
        <w:t>Example</w:t>
      </w:r>
    </w:p>
    <w:p w14:paraId="1F861E18" w14:textId="03EA3977" w:rsidR="00FD3617" w:rsidRPr="008B6569" w:rsidRDefault="00FD3617" w:rsidP="00FD3617">
      <w:pPr>
        <w:spacing w:after="167" w:line="335" w:lineRule="atLeast"/>
        <w:rPr>
          <w:rFonts w:ascii="Bookman Old Style" w:eastAsia="Times New Roman" w:hAnsi="Bookman Old Style" w:cs="Tahoma"/>
          <w:sz w:val="24"/>
          <w:szCs w:val="24"/>
        </w:rPr>
      </w:pPr>
      <w:r w:rsidRPr="008B6569">
        <w:rPr>
          <w:rFonts w:ascii="Bookman Old Style" w:eastAsia="Times New Roman" w:hAnsi="Bookman Old Style" w:cs="Tahoma"/>
          <w:sz w:val="24"/>
          <w:szCs w:val="24"/>
        </w:rPr>
        <w:t>As per the steps outlined above, let’s consider a numeric example for better understanding.</w:t>
      </w:r>
    </w:p>
    <w:p w14:paraId="773D32A4" w14:textId="358BC856" w:rsidR="00FD3617" w:rsidRPr="008B6569" w:rsidRDefault="00FD3617" w:rsidP="000748BE">
      <w:pPr>
        <w:pStyle w:val="ListParagraph"/>
        <w:numPr>
          <w:ilvl w:val="0"/>
          <w:numId w:val="10"/>
        </w:numPr>
        <w:spacing w:after="0" w:line="240" w:lineRule="auto"/>
        <w:ind w:left="180" w:hanging="270"/>
        <w:rPr>
          <w:rFonts w:ascii="Bookman Old Style" w:eastAsia="Times New Roman" w:hAnsi="Bookman Old Style" w:cs="Tahoma"/>
          <w:sz w:val="24"/>
          <w:szCs w:val="24"/>
        </w:rPr>
      </w:pPr>
      <w:r w:rsidRPr="008B6569">
        <w:rPr>
          <w:rFonts w:ascii="Bookman Old Style" w:eastAsia="Times New Roman" w:hAnsi="Bookman Old Style" w:cs="Tahoma"/>
          <w:b/>
          <w:bCs/>
          <w:sz w:val="24"/>
          <w:szCs w:val="24"/>
          <w:u w:val="single"/>
        </w:rPr>
        <w:t>Steps (1) &amp; (2)</w:t>
      </w:r>
    </w:p>
    <w:p w14:paraId="01CCC6B3" w14:textId="77777777" w:rsidR="00FD3617" w:rsidRPr="008B6569" w:rsidRDefault="00FD3617" w:rsidP="00FD3617">
      <w:pPr>
        <w:pStyle w:val="ListParagraph"/>
        <w:spacing w:after="0" w:line="240" w:lineRule="auto"/>
        <w:ind w:left="270"/>
        <w:rPr>
          <w:rFonts w:ascii="Bookman Old Style" w:eastAsia="Times New Roman" w:hAnsi="Bookman Old Style" w:cs="Tahoma"/>
          <w:sz w:val="24"/>
          <w:szCs w:val="24"/>
        </w:rPr>
      </w:pPr>
    </w:p>
    <w:p w14:paraId="431E405D" w14:textId="3BB7469D" w:rsidR="0029524B" w:rsidRPr="00102A68" w:rsidRDefault="00FD3617" w:rsidP="00102A68">
      <w:pPr>
        <w:pStyle w:val="ListParagraph"/>
        <w:numPr>
          <w:ilvl w:val="0"/>
          <w:numId w:val="8"/>
        </w:numPr>
        <w:spacing w:after="0" w:line="240" w:lineRule="auto"/>
        <w:ind w:left="540" w:hanging="270"/>
        <w:rPr>
          <w:rFonts w:ascii="Bookman Old Style" w:eastAsia="Times New Roman" w:hAnsi="Bookman Old Style" w:cs="Tahoma"/>
          <w:sz w:val="24"/>
          <w:szCs w:val="24"/>
        </w:rPr>
      </w:pPr>
      <w:r w:rsidRPr="008B6569">
        <w:rPr>
          <w:rFonts w:ascii="Bookman Old Style" w:eastAsia="Times New Roman" w:hAnsi="Bookman Old Style" w:cs="Tahoma"/>
          <w:sz w:val="24"/>
          <w:szCs w:val="24"/>
        </w:rPr>
        <w:lastRenderedPageBreak/>
        <w:t>Suppose the monthly gross income is Rs.80,000. This figure may contain divisions as - basic pay Rs.50,000, </w:t>
      </w:r>
      <w:hyperlink r:id="rId6" w:history="1">
        <w:r w:rsidRPr="008B6569">
          <w:rPr>
            <w:rFonts w:ascii="Bookman Old Style" w:eastAsia="Times New Roman" w:hAnsi="Bookman Old Style" w:cs="Tahoma"/>
            <w:sz w:val="24"/>
            <w:szCs w:val="24"/>
          </w:rPr>
          <w:t>HRA</w:t>
        </w:r>
      </w:hyperlink>
      <w:r w:rsidRPr="008B6569">
        <w:rPr>
          <w:rFonts w:ascii="Bookman Old Style" w:eastAsia="Times New Roman" w:hAnsi="Bookman Old Style" w:cs="Tahoma"/>
          <w:sz w:val="24"/>
          <w:szCs w:val="24"/>
        </w:rPr>
        <w:t> of Rs.20,000, travel allowance of Rs.800, medical allowance of Rs.1,250, child education allowance (CEA) of Rs.200 and other allowances totaling 12,750.</w:t>
      </w:r>
    </w:p>
    <w:p w14:paraId="1F5A2527" w14:textId="77777777" w:rsidR="0029524B" w:rsidRPr="00102A68" w:rsidRDefault="0029524B" w:rsidP="00102A68">
      <w:pPr>
        <w:spacing w:after="0" w:line="240" w:lineRule="auto"/>
        <w:rPr>
          <w:rFonts w:ascii="Bookman Old Style" w:eastAsia="Times New Roman" w:hAnsi="Bookman Old Style" w:cs="Tahoma"/>
          <w:sz w:val="24"/>
          <w:szCs w:val="24"/>
        </w:rPr>
      </w:pPr>
    </w:p>
    <w:p w14:paraId="044F636D" w14:textId="3A20C5EC" w:rsidR="00FD3617" w:rsidRPr="008B6569" w:rsidRDefault="00FD3617" w:rsidP="000748BE">
      <w:pPr>
        <w:pStyle w:val="ListParagraph"/>
        <w:numPr>
          <w:ilvl w:val="0"/>
          <w:numId w:val="10"/>
        </w:numPr>
        <w:spacing w:after="0" w:line="240" w:lineRule="auto"/>
        <w:ind w:left="180" w:hanging="270"/>
        <w:rPr>
          <w:rFonts w:ascii="Bookman Old Style" w:eastAsia="Times New Roman" w:hAnsi="Bookman Old Style" w:cs="Tahoma"/>
          <w:b/>
          <w:bCs/>
          <w:sz w:val="24"/>
          <w:szCs w:val="24"/>
          <w:u w:val="single"/>
        </w:rPr>
      </w:pPr>
      <w:r w:rsidRPr="008B6569">
        <w:rPr>
          <w:rFonts w:ascii="Bookman Old Style" w:eastAsia="Times New Roman" w:hAnsi="Bookman Old Style" w:cs="Tahoma"/>
          <w:b/>
          <w:bCs/>
          <w:sz w:val="24"/>
          <w:szCs w:val="24"/>
          <w:u w:val="single"/>
        </w:rPr>
        <w:t>Steps (3) &amp; (4)</w:t>
      </w:r>
    </w:p>
    <w:p w14:paraId="74A5EC97" w14:textId="77777777" w:rsidR="00FD3617" w:rsidRPr="008B6569" w:rsidRDefault="00FD3617" w:rsidP="00FD3617">
      <w:pPr>
        <w:pStyle w:val="ListParagraph"/>
        <w:spacing w:after="0" w:line="240" w:lineRule="auto"/>
        <w:ind w:left="270"/>
        <w:rPr>
          <w:rFonts w:ascii="Bookman Old Style" w:eastAsia="Times New Roman" w:hAnsi="Bookman Old Style" w:cs="Tahoma"/>
          <w:sz w:val="24"/>
          <w:szCs w:val="24"/>
        </w:rPr>
      </w:pPr>
    </w:p>
    <w:p w14:paraId="1C724C34" w14:textId="77777777" w:rsidR="00FD3617" w:rsidRPr="008B6569" w:rsidRDefault="00FD3617" w:rsidP="00FD3617">
      <w:pPr>
        <w:numPr>
          <w:ilvl w:val="0"/>
          <w:numId w:val="2"/>
        </w:numPr>
        <w:spacing w:after="0" w:line="240" w:lineRule="auto"/>
        <w:ind w:left="251"/>
        <w:rPr>
          <w:rFonts w:ascii="Bookman Old Style" w:eastAsia="Times New Roman" w:hAnsi="Bookman Old Style" w:cs="Tahoma"/>
          <w:sz w:val="24"/>
          <w:szCs w:val="24"/>
        </w:rPr>
      </w:pPr>
      <w:proofErr w:type="gramStart"/>
      <w:r w:rsidRPr="008B6569">
        <w:rPr>
          <w:rFonts w:ascii="Bookman Old Style" w:eastAsia="Times New Roman" w:hAnsi="Bookman Old Style" w:cs="Tahoma"/>
          <w:sz w:val="24"/>
          <w:szCs w:val="24"/>
        </w:rPr>
        <w:t>Assuming that</w:t>
      </w:r>
      <w:proofErr w:type="gramEnd"/>
      <w:r w:rsidRPr="008B6569">
        <w:rPr>
          <w:rFonts w:ascii="Bookman Old Style" w:eastAsia="Times New Roman" w:hAnsi="Bookman Old Style" w:cs="Tahoma"/>
          <w:sz w:val="24"/>
          <w:szCs w:val="24"/>
        </w:rPr>
        <w:t xml:space="preserve"> the employee stays at his / her own property, the monthly exemption from allowances equals Rs.2,250 (medical + travel + CEA). Therefore, his / her yearly taxable amount comes to (Rs.80,000 - Rs.</w:t>
      </w:r>
      <w:proofErr w:type="gramStart"/>
      <w:r w:rsidRPr="008B6569">
        <w:rPr>
          <w:rFonts w:ascii="Bookman Old Style" w:eastAsia="Times New Roman" w:hAnsi="Bookman Old Style" w:cs="Tahoma"/>
          <w:sz w:val="24"/>
          <w:szCs w:val="24"/>
        </w:rPr>
        <w:t>2,250)*</w:t>
      </w:r>
      <w:proofErr w:type="gramEnd"/>
      <w:r w:rsidRPr="008B6569">
        <w:rPr>
          <w:rFonts w:ascii="Bookman Old Style" w:eastAsia="Times New Roman" w:hAnsi="Bookman Old Style" w:cs="Tahoma"/>
          <w:sz w:val="24"/>
          <w:szCs w:val="24"/>
        </w:rPr>
        <w:t>12, which comes to Rs.9,33,000.</w:t>
      </w:r>
    </w:p>
    <w:p w14:paraId="67E2175E" w14:textId="77777777" w:rsidR="00FD3617" w:rsidRPr="008B6569" w:rsidRDefault="00FD3617" w:rsidP="00FD3617">
      <w:pPr>
        <w:spacing w:after="0" w:line="240" w:lineRule="auto"/>
        <w:ind w:left="251"/>
        <w:rPr>
          <w:rFonts w:ascii="Bookman Old Style" w:eastAsia="Times New Roman" w:hAnsi="Bookman Old Style" w:cs="Tahoma"/>
          <w:sz w:val="24"/>
          <w:szCs w:val="24"/>
        </w:rPr>
      </w:pPr>
    </w:p>
    <w:p w14:paraId="67A75EFE" w14:textId="77777777" w:rsidR="00FD3617" w:rsidRPr="008B6569" w:rsidRDefault="00FD3617" w:rsidP="000748BE">
      <w:pPr>
        <w:pStyle w:val="ListParagraph"/>
        <w:numPr>
          <w:ilvl w:val="0"/>
          <w:numId w:val="10"/>
        </w:numPr>
        <w:spacing w:after="0" w:line="240" w:lineRule="auto"/>
        <w:ind w:left="180" w:hanging="270"/>
        <w:rPr>
          <w:rFonts w:ascii="Bookman Old Style" w:eastAsia="Times New Roman" w:hAnsi="Bookman Old Style" w:cs="Tahoma"/>
          <w:b/>
          <w:bCs/>
          <w:sz w:val="24"/>
          <w:szCs w:val="24"/>
          <w:u w:val="single"/>
        </w:rPr>
      </w:pPr>
      <w:r w:rsidRPr="008B6569">
        <w:rPr>
          <w:rFonts w:ascii="Bookman Old Style" w:eastAsia="Times New Roman" w:hAnsi="Bookman Old Style" w:cs="Tahoma"/>
          <w:b/>
          <w:bCs/>
          <w:sz w:val="24"/>
          <w:szCs w:val="24"/>
          <w:u w:val="single"/>
        </w:rPr>
        <w:t>Step (5)</w:t>
      </w:r>
    </w:p>
    <w:p w14:paraId="1AF41B0E" w14:textId="77777777" w:rsidR="00FD3617" w:rsidRPr="008B6569" w:rsidRDefault="00FD3617" w:rsidP="00FD3617">
      <w:pPr>
        <w:pStyle w:val="ListParagraph"/>
        <w:spacing w:after="0" w:line="240" w:lineRule="auto"/>
        <w:ind w:left="270"/>
        <w:rPr>
          <w:rFonts w:ascii="Bookman Old Style" w:eastAsia="Times New Roman" w:hAnsi="Bookman Old Style" w:cs="Tahoma"/>
          <w:sz w:val="24"/>
          <w:szCs w:val="24"/>
        </w:rPr>
      </w:pPr>
    </w:p>
    <w:p w14:paraId="21BEA754" w14:textId="27A8A752" w:rsidR="00FD3617" w:rsidRPr="008B6569" w:rsidRDefault="00FD3617" w:rsidP="00FD3617">
      <w:pPr>
        <w:numPr>
          <w:ilvl w:val="0"/>
          <w:numId w:val="2"/>
        </w:numPr>
        <w:spacing w:after="0" w:line="240" w:lineRule="auto"/>
        <w:ind w:left="251"/>
        <w:rPr>
          <w:rFonts w:ascii="Bookman Old Style" w:eastAsia="Times New Roman" w:hAnsi="Bookman Old Style" w:cs="Tahoma"/>
          <w:sz w:val="24"/>
          <w:szCs w:val="24"/>
        </w:rPr>
      </w:pPr>
      <w:r w:rsidRPr="008B6569">
        <w:rPr>
          <w:rFonts w:ascii="Bookman Old Style" w:eastAsia="Times New Roman" w:hAnsi="Bookman Old Style" w:cs="Tahoma"/>
          <w:sz w:val="24"/>
          <w:szCs w:val="24"/>
        </w:rPr>
        <w:t>Let's say he</w:t>
      </w:r>
      <w:r w:rsidR="004947E8" w:rsidRPr="008B6569">
        <w:rPr>
          <w:rFonts w:ascii="Bookman Old Style" w:eastAsia="Times New Roman" w:hAnsi="Bookman Old Style" w:cs="Tahoma"/>
          <w:sz w:val="24"/>
          <w:szCs w:val="24"/>
        </w:rPr>
        <w:t>/</w:t>
      </w:r>
      <w:r w:rsidRPr="008B6569">
        <w:rPr>
          <w:rFonts w:ascii="Bookman Old Style" w:eastAsia="Times New Roman" w:hAnsi="Bookman Old Style" w:cs="Tahoma"/>
          <w:sz w:val="24"/>
          <w:szCs w:val="24"/>
        </w:rPr>
        <w:t>she just experienced a loss of Rs.1.5 lakhs on house loan interest repayments over the year. Reducing this exempted amount from the taxable income, their taxable income becomes Rs.7,83,000.</w:t>
      </w:r>
    </w:p>
    <w:p w14:paraId="2A2600AF" w14:textId="77777777" w:rsidR="00FD3617" w:rsidRPr="008B6569" w:rsidRDefault="00FD3617" w:rsidP="00FD3617">
      <w:pPr>
        <w:spacing w:after="0" w:line="240" w:lineRule="auto"/>
        <w:ind w:left="251"/>
        <w:rPr>
          <w:rFonts w:ascii="Bookman Old Style" w:eastAsia="Times New Roman" w:hAnsi="Bookman Old Style" w:cs="Tahoma"/>
          <w:sz w:val="24"/>
          <w:szCs w:val="24"/>
        </w:rPr>
      </w:pPr>
    </w:p>
    <w:p w14:paraId="0EF4F1C6" w14:textId="77777777" w:rsidR="00FD3617" w:rsidRPr="008B6569" w:rsidRDefault="00FD3617" w:rsidP="000748BE">
      <w:pPr>
        <w:pStyle w:val="ListParagraph"/>
        <w:numPr>
          <w:ilvl w:val="0"/>
          <w:numId w:val="10"/>
        </w:numPr>
        <w:spacing w:after="0" w:line="240" w:lineRule="auto"/>
        <w:ind w:left="180" w:hanging="270"/>
        <w:rPr>
          <w:rFonts w:ascii="Bookman Old Style" w:eastAsia="Times New Roman" w:hAnsi="Bookman Old Style" w:cs="Tahoma"/>
          <w:b/>
          <w:bCs/>
          <w:sz w:val="24"/>
          <w:szCs w:val="24"/>
          <w:u w:val="single"/>
        </w:rPr>
      </w:pPr>
      <w:r w:rsidRPr="008B6569">
        <w:rPr>
          <w:rFonts w:ascii="Bookman Old Style" w:eastAsia="Times New Roman" w:hAnsi="Bookman Old Style" w:cs="Tahoma"/>
          <w:b/>
          <w:bCs/>
          <w:sz w:val="24"/>
          <w:szCs w:val="24"/>
          <w:u w:val="single"/>
        </w:rPr>
        <w:t>Step (6)</w:t>
      </w:r>
    </w:p>
    <w:p w14:paraId="65EBF53F" w14:textId="77777777" w:rsidR="00FD3617" w:rsidRPr="008B6569" w:rsidRDefault="00FD3617" w:rsidP="00FD3617">
      <w:pPr>
        <w:pStyle w:val="ListParagraph"/>
        <w:spacing w:after="0" w:line="240" w:lineRule="auto"/>
        <w:ind w:left="270"/>
        <w:rPr>
          <w:rFonts w:ascii="Bookman Old Style" w:eastAsia="Times New Roman" w:hAnsi="Bookman Old Style" w:cs="Tahoma"/>
          <w:sz w:val="24"/>
          <w:szCs w:val="24"/>
        </w:rPr>
      </w:pPr>
    </w:p>
    <w:p w14:paraId="282C5432" w14:textId="0A615D1A" w:rsidR="00FD3617" w:rsidRPr="008B6569" w:rsidRDefault="00FD3617" w:rsidP="00FD3617">
      <w:pPr>
        <w:numPr>
          <w:ilvl w:val="0"/>
          <w:numId w:val="2"/>
        </w:numPr>
        <w:spacing w:after="0" w:line="240" w:lineRule="auto"/>
        <w:ind w:left="251"/>
        <w:rPr>
          <w:rFonts w:ascii="Bookman Old Style" w:eastAsia="Times New Roman" w:hAnsi="Bookman Old Style" w:cs="Tahoma"/>
          <w:sz w:val="24"/>
          <w:szCs w:val="24"/>
        </w:rPr>
      </w:pPr>
      <w:r w:rsidRPr="008B6569">
        <w:rPr>
          <w:rFonts w:ascii="Bookman Old Style" w:eastAsia="Times New Roman" w:hAnsi="Bookman Old Style" w:cs="Tahoma"/>
          <w:sz w:val="24"/>
          <w:szCs w:val="24"/>
        </w:rPr>
        <w:t xml:space="preserve">Suppose the employee has invested Rs.1.2 lakhs in various categories that fall under Section 80C exemptions and made another Rs.30,000 investment in categories falling under Section 80D. So, the resulting Rs.1.5 lakhs </w:t>
      </w:r>
      <w:r w:rsidR="004947E8" w:rsidRPr="008B6569">
        <w:rPr>
          <w:rFonts w:ascii="Bookman Old Style" w:eastAsia="Times New Roman" w:hAnsi="Bookman Old Style" w:cs="Tahoma"/>
          <w:sz w:val="24"/>
          <w:szCs w:val="24"/>
        </w:rPr>
        <w:t>are</w:t>
      </w:r>
      <w:r w:rsidRPr="008B6569">
        <w:rPr>
          <w:rFonts w:ascii="Bookman Old Style" w:eastAsia="Times New Roman" w:hAnsi="Bookman Old Style" w:cs="Tahoma"/>
          <w:sz w:val="24"/>
          <w:szCs w:val="24"/>
        </w:rPr>
        <w:t xml:space="preserve"> exempted from taxes according to Chapter VI-A. Deducting this amount from the gross taxable income calculated above, his </w:t>
      </w:r>
      <w:hyperlink r:id="rId7" w:history="1">
        <w:r w:rsidRPr="008B6569">
          <w:rPr>
            <w:rFonts w:ascii="Bookman Old Style" w:eastAsia="Times New Roman" w:hAnsi="Bookman Old Style" w:cs="Tahoma"/>
            <w:sz w:val="24"/>
            <w:szCs w:val="24"/>
          </w:rPr>
          <w:t>taxable income</w:t>
        </w:r>
      </w:hyperlink>
      <w:r w:rsidRPr="008B6569">
        <w:rPr>
          <w:rFonts w:ascii="Bookman Old Style" w:eastAsia="Times New Roman" w:hAnsi="Bookman Old Style" w:cs="Tahoma"/>
          <w:sz w:val="24"/>
          <w:szCs w:val="24"/>
        </w:rPr>
        <w:t> becomes Rs.6,33,000.</w:t>
      </w:r>
    </w:p>
    <w:p w14:paraId="47A6C1A1" w14:textId="77777777" w:rsidR="00FD3617" w:rsidRPr="008B6569" w:rsidRDefault="00FD3617" w:rsidP="00FD3617">
      <w:pPr>
        <w:spacing w:after="0" w:line="240" w:lineRule="auto"/>
        <w:ind w:left="251"/>
        <w:rPr>
          <w:rFonts w:ascii="Bookman Old Style" w:eastAsia="Times New Roman" w:hAnsi="Bookman Old Style" w:cs="Tahoma"/>
          <w:sz w:val="24"/>
          <w:szCs w:val="24"/>
        </w:rPr>
      </w:pPr>
    </w:p>
    <w:p w14:paraId="635F118E" w14:textId="77777777" w:rsidR="00FD3617" w:rsidRPr="008B6569" w:rsidRDefault="00FD3617" w:rsidP="000748BE">
      <w:pPr>
        <w:pStyle w:val="ListParagraph"/>
        <w:numPr>
          <w:ilvl w:val="0"/>
          <w:numId w:val="10"/>
        </w:numPr>
        <w:spacing w:after="0" w:line="240" w:lineRule="auto"/>
        <w:ind w:left="180" w:hanging="270"/>
        <w:rPr>
          <w:rFonts w:ascii="Bookman Old Style" w:eastAsia="Times New Roman" w:hAnsi="Bookman Old Style" w:cs="Tahoma"/>
          <w:b/>
          <w:bCs/>
          <w:sz w:val="24"/>
          <w:szCs w:val="24"/>
          <w:u w:val="single"/>
        </w:rPr>
      </w:pPr>
      <w:r w:rsidRPr="008B6569">
        <w:rPr>
          <w:rFonts w:ascii="Bookman Old Style" w:eastAsia="Times New Roman" w:hAnsi="Bookman Old Style" w:cs="Tahoma"/>
          <w:b/>
          <w:bCs/>
          <w:sz w:val="24"/>
          <w:szCs w:val="24"/>
          <w:u w:val="single"/>
        </w:rPr>
        <w:t>Step (7)</w:t>
      </w:r>
    </w:p>
    <w:p w14:paraId="51316D25" w14:textId="77777777" w:rsidR="00FD3617" w:rsidRPr="008B6569" w:rsidRDefault="00FD3617" w:rsidP="00FD3617">
      <w:pPr>
        <w:pStyle w:val="ListParagraph"/>
        <w:spacing w:after="0" w:line="240" w:lineRule="auto"/>
        <w:ind w:left="270"/>
        <w:rPr>
          <w:rFonts w:ascii="Bookman Old Style" w:eastAsia="Times New Roman" w:hAnsi="Bookman Old Style" w:cs="Tahoma"/>
          <w:sz w:val="24"/>
          <w:szCs w:val="24"/>
        </w:rPr>
      </w:pPr>
    </w:p>
    <w:p w14:paraId="7035083E" w14:textId="77777777" w:rsidR="00FD3617" w:rsidRPr="008B6569" w:rsidRDefault="00FD3617" w:rsidP="00FD3617">
      <w:pPr>
        <w:numPr>
          <w:ilvl w:val="0"/>
          <w:numId w:val="2"/>
        </w:numPr>
        <w:spacing w:after="0" w:line="240" w:lineRule="auto"/>
        <w:ind w:left="251"/>
        <w:rPr>
          <w:rFonts w:ascii="Bookman Old Style" w:eastAsia="Times New Roman" w:hAnsi="Bookman Old Style" w:cs="Tahoma"/>
          <w:sz w:val="24"/>
          <w:szCs w:val="24"/>
        </w:rPr>
      </w:pPr>
      <w:r w:rsidRPr="008B6569">
        <w:rPr>
          <w:rFonts w:ascii="Bookman Old Style" w:eastAsia="Times New Roman" w:hAnsi="Bookman Old Style" w:cs="Tahoma"/>
          <w:sz w:val="24"/>
          <w:szCs w:val="24"/>
        </w:rPr>
        <w:t>Finding out the tax slab</w:t>
      </w:r>
    </w:p>
    <w:p w14:paraId="3D8A30A1" w14:textId="77777777" w:rsidR="00FD3617" w:rsidRPr="008B6569" w:rsidRDefault="00FD3617" w:rsidP="00FD3617">
      <w:pPr>
        <w:numPr>
          <w:ilvl w:val="0"/>
          <w:numId w:val="2"/>
        </w:numPr>
        <w:spacing w:after="0" w:line="240" w:lineRule="auto"/>
        <w:ind w:left="251"/>
        <w:rPr>
          <w:rFonts w:ascii="Bookman Old Style" w:eastAsia="Times New Roman" w:hAnsi="Bookman Old Style" w:cs="Tahoma"/>
          <w:sz w:val="24"/>
          <w:szCs w:val="24"/>
        </w:rPr>
      </w:pPr>
      <w:r w:rsidRPr="008B6569">
        <w:rPr>
          <w:rFonts w:ascii="Bookman Old Style" w:eastAsia="Times New Roman" w:hAnsi="Bookman Old Style" w:cs="Tahoma"/>
          <w:sz w:val="24"/>
          <w:szCs w:val="24"/>
        </w:rPr>
        <w:t>The final tax breakup according to income slabs listed by the IT department is as follows:</w:t>
      </w:r>
    </w:p>
    <w:p w14:paraId="79785EEF" w14:textId="68A74A25" w:rsidR="00FD3617" w:rsidRDefault="00FD3617" w:rsidP="00FD3617">
      <w:pPr>
        <w:numPr>
          <w:ilvl w:val="0"/>
          <w:numId w:val="2"/>
        </w:numPr>
        <w:spacing w:after="0" w:line="240" w:lineRule="auto"/>
        <w:ind w:left="251"/>
        <w:rPr>
          <w:rFonts w:ascii="Bookman Old Style" w:eastAsia="Times New Roman" w:hAnsi="Bookman Old Style" w:cs="Tahoma"/>
          <w:sz w:val="24"/>
          <w:szCs w:val="24"/>
        </w:rPr>
      </w:pPr>
      <w:r w:rsidRPr="008B6569">
        <w:rPr>
          <w:rFonts w:ascii="Bookman Old Style" w:eastAsia="Times New Roman" w:hAnsi="Bookman Old Style" w:cs="Tahoma"/>
          <w:sz w:val="24"/>
          <w:szCs w:val="24"/>
        </w:rPr>
        <w:t xml:space="preserve">Therefore, the final TDS to be deducted on his / her yearly income is Rs.25,000 + Rs.26,600, which comes to Rs.51,600 for </w:t>
      </w:r>
      <w:r w:rsidR="004947E8" w:rsidRPr="008B6569">
        <w:rPr>
          <w:rFonts w:ascii="Bookman Old Style" w:eastAsia="Times New Roman" w:hAnsi="Bookman Old Style" w:cs="Tahoma"/>
          <w:sz w:val="24"/>
          <w:szCs w:val="24"/>
        </w:rPr>
        <w:t xml:space="preserve">the </w:t>
      </w:r>
      <w:r w:rsidRPr="008B6569">
        <w:rPr>
          <w:rFonts w:ascii="Bookman Old Style" w:eastAsia="Times New Roman" w:hAnsi="Bookman Old Style" w:cs="Tahoma"/>
          <w:sz w:val="24"/>
          <w:szCs w:val="24"/>
        </w:rPr>
        <w:t>current year's income, or Rs.4,300 per month for the current fiscal.</w:t>
      </w:r>
    </w:p>
    <w:p w14:paraId="6BBD86AA" w14:textId="60E41CF2" w:rsidR="008B6569" w:rsidRDefault="008B6569" w:rsidP="008B6569">
      <w:pPr>
        <w:spacing w:after="0" w:line="240" w:lineRule="auto"/>
        <w:rPr>
          <w:rFonts w:ascii="Bookman Old Style" w:eastAsia="Times New Roman" w:hAnsi="Bookman Old Style" w:cs="Tahoma"/>
          <w:sz w:val="24"/>
          <w:szCs w:val="24"/>
        </w:rPr>
      </w:pPr>
      <w:bookmarkStart w:id="0" w:name="_GoBack"/>
      <w:bookmarkEnd w:id="0"/>
    </w:p>
    <w:p w14:paraId="2A374D0D" w14:textId="77777777" w:rsidR="008B6569" w:rsidRPr="008B6569" w:rsidRDefault="008B6569" w:rsidP="008B6569">
      <w:pPr>
        <w:spacing w:after="0" w:line="240" w:lineRule="auto"/>
        <w:rPr>
          <w:rFonts w:ascii="Bookman Old Style" w:eastAsia="Times New Roman" w:hAnsi="Bookman Old Style" w:cs="Tahoma"/>
          <w:sz w:val="24"/>
          <w:szCs w:val="24"/>
        </w:rPr>
      </w:pPr>
    </w:p>
    <w:p w14:paraId="19DEFDD9" w14:textId="77777777" w:rsidR="00FD3617" w:rsidRPr="008B6569" w:rsidRDefault="00FD3617" w:rsidP="00FD3617">
      <w:pPr>
        <w:spacing w:after="0" w:line="240" w:lineRule="auto"/>
        <w:ind w:left="251"/>
        <w:rPr>
          <w:rFonts w:ascii="Bookman Old Style" w:eastAsia="Times New Roman" w:hAnsi="Bookman Old Style" w:cs="Tahoma"/>
          <w:sz w:val="24"/>
          <w:szCs w:val="24"/>
        </w:rPr>
      </w:pPr>
    </w:p>
    <w:tbl>
      <w:tblPr>
        <w:tblW w:w="10170" w:type="dxa"/>
        <w:tblInd w:w="-276" w:type="dxa"/>
        <w:tblCellMar>
          <w:top w:w="15" w:type="dxa"/>
          <w:left w:w="15" w:type="dxa"/>
          <w:bottom w:w="15" w:type="dxa"/>
          <w:right w:w="15" w:type="dxa"/>
        </w:tblCellMar>
        <w:tblLook w:val="04A0" w:firstRow="1" w:lastRow="0" w:firstColumn="1" w:lastColumn="0" w:noHBand="0" w:noVBand="1"/>
      </w:tblPr>
      <w:tblGrid>
        <w:gridCol w:w="4494"/>
        <w:gridCol w:w="3960"/>
        <w:gridCol w:w="1716"/>
      </w:tblGrid>
      <w:tr w:rsidR="00FD3617" w:rsidRPr="008B6569" w14:paraId="62E4FB65" w14:textId="77777777" w:rsidTr="00FD3617">
        <w:trPr>
          <w:tblHeader/>
        </w:trPr>
        <w:tc>
          <w:tcPr>
            <w:tcW w:w="4494" w:type="dxa"/>
            <w:tcBorders>
              <w:top w:val="single" w:sz="6" w:space="0" w:color="DDDDDD"/>
              <w:left w:val="single" w:sz="6" w:space="0" w:color="DDDDDD"/>
              <w:bottom w:val="single" w:sz="6" w:space="0" w:color="DDDDDD"/>
              <w:right w:val="single" w:sz="6" w:space="0" w:color="DDDDDD"/>
            </w:tcBorders>
            <w:shd w:val="clear" w:color="auto" w:fill="38ACC9"/>
            <w:tcMar>
              <w:top w:w="84" w:type="dxa"/>
              <w:left w:w="84" w:type="dxa"/>
              <w:bottom w:w="84" w:type="dxa"/>
              <w:right w:w="84" w:type="dxa"/>
            </w:tcMar>
            <w:vAlign w:val="center"/>
            <w:hideMark/>
          </w:tcPr>
          <w:p w14:paraId="1ABD2D99" w14:textId="77777777" w:rsidR="00FD3617" w:rsidRPr="008B6569" w:rsidRDefault="00FD3617" w:rsidP="00FD3617">
            <w:pPr>
              <w:spacing w:after="0" w:line="240" w:lineRule="auto"/>
              <w:jc w:val="center"/>
              <w:rPr>
                <w:rFonts w:ascii="Bookman Old Style" w:eastAsia="Times New Roman" w:hAnsi="Bookman Old Style" w:cs="Tahoma"/>
                <w:b/>
                <w:bCs/>
                <w:sz w:val="24"/>
                <w:szCs w:val="24"/>
              </w:rPr>
            </w:pPr>
            <w:r w:rsidRPr="008B6569">
              <w:rPr>
                <w:rFonts w:ascii="Bookman Old Style" w:eastAsia="Times New Roman" w:hAnsi="Bookman Old Style" w:cs="Tahoma"/>
                <w:b/>
                <w:bCs/>
                <w:sz w:val="24"/>
                <w:szCs w:val="24"/>
              </w:rPr>
              <w:t>Income Tax Slab</w:t>
            </w:r>
          </w:p>
        </w:tc>
        <w:tc>
          <w:tcPr>
            <w:tcW w:w="3960" w:type="dxa"/>
            <w:tcBorders>
              <w:top w:val="single" w:sz="6" w:space="0" w:color="DDDDDD"/>
              <w:left w:val="single" w:sz="6" w:space="0" w:color="DDDDDD"/>
              <w:bottom w:val="single" w:sz="6" w:space="0" w:color="DDDDDD"/>
              <w:right w:val="single" w:sz="6" w:space="0" w:color="DDDDDD"/>
            </w:tcBorders>
            <w:shd w:val="clear" w:color="auto" w:fill="38ACC9"/>
            <w:tcMar>
              <w:top w:w="84" w:type="dxa"/>
              <w:left w:w="84" w:type="dxa"/>
              <w:bottom w:w="84" w:type="dxa"/>
              <w:right w:w="84" w:type="dxa"/>
            </w:tcMar>
            <w:vAlign w:val="center"/>
            <w:hideMark/>
          </w:tcPr>
          <w:p w14:paraId="668B1029" w14:textId="77777777" w:rsidR="00FD3617" w:rsidRPr="008B6569" w:rsidRDefault="00FD3617" w:rsidP="00FD3617">
            <w:pPr>
              <w:spacing w:after="0" w:line="240" w:lineRule="auto"/>
              <w:jc w:val="center"/>
              <w:rPr>
                <w:rFonts w:ascii="Bookman Old Style" w:eastAsia="Times New Roman" w:hAnsi="Bookman Old Style" w:cs="Tahoma"/>
                <w:b/>
                <w:bCs/>
                <w:sz w:val="24"/>
                <w:szCs w:val="24"/>
              </w:rPr>
            </w:pPr>
            <w:r w:rsidRPr="008B6569">
              <w:rPr>
                <w:rFonts w:ascii="Bookman Old Style" w:eastAsia="Times New Roman" w:hAnsi="Bookman Old Style" w:cs="Tahoma"/>
                <w:b/>
                <w:bCs/>
                <w:sz w:val="24"/>
                <w:szCs w:val="24"/>
              </w:rPr>
              <w:t>TDS Deductions</w:t>
            </w:r>
          </w:p>
        </w:tc>
        <w:tc>
          <w:tcPr>
            <w:tcW w:w="1716" w:type="dxa"/>
            <w:tcBorders>
              <w:top w:val="single" w:sz="6" w:space="0" w:color="DDDDDD"/>
              <w:left w:val="single" w:sz="6" w:space="0" w:color="DDDDDD"/>
              <w:bottom w:val="single" w:sz="6" w:space="0" w:color="DDDDDD"/>
              <w:right w:val="single" w:sz="6" w:space="0" w:color="DDDDDD"/>
            </w:tcBorders>
            <w:shd w:val="clear" w:color="auto" w:fill="38ACC9"/>
            <w:tcMar>
              <w:top w:w="84" w:type="dxa"/>
              <w:left w:w="84" w:type="dxa"/>
              <w:bottom w:w="84" w:type="dxa"/>
              <w:right w:w="84" w:type="dxa"/>
            </w:tcMar>
            <w:vAlign w:val="center"/>
            <w:hideMark/>
          </w:tcPr>
          <w:p w14:paraId="7FF7DCF7" w14:textId="77777777" w:rsidR="00FD3617" w:rsidRPr="008B6569" w:rsidRDefault="00FD3617" w:rsidP="00FD3617">
            <w:pPr>
              <w:spacing w:after="0" w:line="240" w:lineRule="auto"/>
              <w:jc w:val="center"/>
              <w:rPr>
                <w:rFonts w:ascii="Bookman Old Style" w:eastAsia="Times New Roman" w:hAnsi="Bookman Old Style" w:cs="Tahoma"/>
                <w:b/>
                <w:bCs/>
                <w:sz w:val="24"/>
                <w:szCs w:val="24"/>
              </w:rPr>
            </w:pPr>
            <w:r w:rsidRPr="008B6569">
              <w:rPr>
                <w:rFonts w:ascii="Bookman Old Style" w:eastAsia="Times New Roman" w:hAnsi="Bookman Old Style" w:cs="Tahoma"/>
                <w:b/>
                <w:bCs/>
                <w:sz w:val="24"/>
                <w:szCs w:val="24"/>
              </w:rPr>
              <w:t>Tax Payable</w:t>
            </w:r>
          </w:p>
        </w:tc>
      </w:tr>
      <w:tr w:rsidR="00FD3617" w:rsidRPr="008B6569" w14:paraId="4D461146" w14:textId="77777777" w:rsidTr="00FD3617">
        <w:tc>
          <w:tcPr>
            <w:tcW w:w="4494" w:type="dxa"/>
            <w:tcBorders>
              <w:top w:val="single" w:sz="6" w:space="0" w:color="DDDDDD"/>
              <w:left w:val="single" w:sz="6" w:space="0" w:color="DDDDDD"/>
              <w:bottom w:val="single" w:sz="6" w:space="0" w:color="DDDDDD"/>
              <w:right w:val="single" w:sz="6" w:space="0" w:color="DDDDDD"/>
            </w:tcBorders>
            <w:shd w:val="clear" w:color="auto" w:fill="F9F9F9"/>
            <w:tcMar>
              <w:top w:w="84" w:type="dxa"/>
              <w:left w:w="167" w:type="dxa"/>
              <w:bottom w:w="84" w:type="dxa"/>
              <w:right w:w="167" w:type="dxa"/>
            </w:tcMar>
            <w:vAlign w:val="center"/>
            <w:hideMark/>
          </w:tcPr>
          <w:p w14:paraId="058D41B7"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Up to Rs.3 lakhs</w:t>
            </w:r>
          </w:p>
        </w:tc>
        <w:tc>
          <w:tcPr>
            <w:tcW w:w="3960" w:type="dxa"/>
            <w:tcBorders>
              <w:top w:val="single" w:sz="6" w:space="0" w:color="DDDDDD"/>
              <w:left w:val="single" w:sz="6" w:space="0" w:color="DDDDDD"/>
              <w:bottom w:val="single" w:sz="6" w:space="0" w:color="DDDDDD"/>
              <w:right w:val="single" w:sz="6" w:space="0" w:color="DDDDDD"/>
            </w:tcBorders>
            <w:shd w:val="clear" w:color="auto" w:fill="F9F9F9"/>
            <w:tcMar>
              <w:top w:w="84" w:type="dxa"/>
              <w:left w:w="167" w:type="dxa"/>
              <w:bottom w:w="84" w:type="dxa"/>
              <w:right w:w="167" w:type="dxa"/>
            </w:tcMar>
            <w:vAlign w:val="center"/>
            <w:hideMark/>
          </w:tcPr>
          <w:p w14:paraId="171EABCD"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Nil</w:t>
            </w:r>
          </w:p>
        </w:tc>
        <w:tc>
          <w:tcPr>
            <w:tcW w:w="1716" w:type="dxa"/>
            <w:tcBorders>
              <w:top w:val="single" w:sz="6" w:space="0" w:color="DDDDDD"/>
              <w:left w:val="single" w:sz="6" w:space="0" w:color="DDDDDD"/>
              <w:bottom w:val="single" w:sz="6" w:space="0" w:color="DDDDDD"/>
              <w:right w:val="single" w:sz="6" w:space="0" w:color="DDDDDD"/>
            </w:tcBorders>
            <w:shd w:val="clear" w:color="auto" w:fill="F9F9F9"/>
            <w:tcMar>
              <w:top w:w="84" w:type="dxa"/>
              <w:left w:w="167" w:type="dxa"/>
              <w:bottom w:w="84" w:type="dxa"/>
              <w:right w:w="167" w:type="dxa"/>
            </w:tcMar>
            <w:vAlign w:val="center"/>
            <w:hideMark/>
          </w:tcPr>
          <w:p w14:paraId="0EB1924B"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Nil</w:t>
            </w:r>
          </w:p>
        </w:tc>
      </w:tr>
      <w:tr w:rsidR="00FD3617" w:rsidRPr="008B6569" w14:paraId="3513A8CE" w14:textId="77777777" w:rsidTr="00FD3617">
        <w:tc>
          <w:tcPr>
            <w:tcW w:w="4494" w:type="dxa"/>
            <w:tcBorders>
              <w:top w:val="single" w:sz="6" w:space="0" w:color="DDDDDD"/>
              <w:left w:val="single" w:sz="6" w:space="0" w:color="DDDDDD"/>
              <w:bottom w:val="single" w:sz="6" w:space="0" w:color="DDDDDD"/>
              <w:right w:val="single" w:sz="6" w:space="0" w:color="DDDDDD"/>
            </w:tcBorders>
            <w:tcMar>
              <w:top w:w="84" w:type="dxa"/>
              <w:left w:w="167" w:type="dxa"/>
              <w:bottom w:w="84" w:type="dxa"/>
              <w:right w:w="167" w:type="dxa"/>
            </w:tcMar>
            <w:vAlign w:val="center"/>
            <w:hideMark/>
          </w:tcPr>
          <w:p w14:paraId="141195F4"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Rs. 3 lakhs to Rs.5 lakhs</w:t>
            </w:r>
          </w:p>
        </w:tc>
        <w:tc>
          <w:tcPr>
            <w:tcW w:w="3960" w:type="dxa"/>
            <w:tcBorders>
              <w:top w:val="single" w:sz="6" w:space="0" w:color="DDDDDD"/>
              <w:left w:val="single" w:sz="6" w:space="0" w:color="DDDDDD"/>
              <w:bottom w:val="single" w:sz="6" w:space="0" w:color="DDDDDD"/>
              <w:right w:val="single" w:sz="6" w:space="0" w:color="DDDDDD"/>
            </w:tcBorders>
            <w:tcMar>
              <w:top w:w="84" w:type="dxa"/>
              <w:left w:w="167" w:type="dxa"/>
              <w:bottom w:w="84" w:type="dxa"/>
              <w:right w:w="167" w:type="dxa"/>
            </w:tcMar>
            <w:vAlign w:val="center"/>
            <w:hideMark/>
          </w:tcPr>
          <w:p w14:paraId="01B27E39"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 xml:space="preserve">10% </w:t>
            </w:r>
            <w:proofErr w:type="gramStart"/>
            <w:r w:rsidRPr="008B6569">
              <w:rPr>
                <w:rFonts w:ascii="Bookman Old Style" w:eastAsia="Times New Roman" w:hAnsi="Bookman Old Style" w:cs="Tahoma"/>
                <w:sz w:val="24"/>
                <w:szCs w:val="24"/>
              </w:rPr>
              <w:t>of(</w:t>
            </w:r>
            <w:proofErr w:type="gramEnd"/>
            <w:r w:rsidRPr="008B6569">
              <w:rPr>
                <w:rFonts w:ascii="Bookman Old Style" w:eastAsia="Times New Roman" w:hAnsi="Bookman Old Style" w:cs="Tahoma"/>
                <w:sz w:val="24"/>
                <w:szCs w:val="24"/>
              </w:rPr>
              <w:t>Rs.5,00,00-Rs.2,50,00</w:t>
            </w:r>
          </w:p>
        </w:tc>
        <w:tc>
          <w:tcPr>
            <w:tcW w:w="1716" w:type="dxa"/>
            <w:tcBorders>
              <w:top w:val="single" w:sz="6" w:space="0" w:color="DDDDDD"/>
              <w:left w:val="single" w:sz="6" w:space="0" w:color="DDDDDD"/>
              <w:bottom w:val="single" w:sz="6" w:space="0" w:color="DDDDDD"/>
              <w:right w:val="single" w:sz="6" w:space="0" w:color="DDDDDD"/>
            </w:tcBorders>
            <w:tcMar>
              <w:top w:w="84" w:type="dxa"/>
              <w:left w:w="167" w:type="dxa"/>
              <w:bottom w:w="84" w:type="dxa"/>
              <w:right w:w="167" w:type="dxa"/>
            </w:tcMar>
            <w:vAlign w:val="center"/>
            <w:hideMark/>
          </w:tcPr>
          <w:p w14:paraId="37A0F63F"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Rs.25,000</w:t>
            </w:r>
          </w:p>
        </w:tc>
      </w:tr>
      <w:tr w:rsidR="00FD3617" w:rsidRPr="008B6569" w14:paraId="3DA8EA2B" w14:textId="77777777" w:rsidTr="00FD3617">
        <w:tc>
          <w:tcPr>
            <w:tcW w:w="4494" w:type="dxa"/>
            <w:tcBorders>
              <w:top w:val="single" w:sz="6" w:space="0" w:color="DDDDDD"/>
              <w:left w:val="single" w:sz="6" w:space="0" w:color="DDDDDD"/>
              <w:bottom w:val="single" w:sz="6" w:space="0" w:color="DDDDDD"/>
              <w:right w:val="single" w:sz="6" w:space="0" w:color="DDDDDD"/>
            </w:tcBorders>
            <w:shd w:val="clear" w:color="auto" w:fill="F9F9F9"/>
            <w:tcMar>
              <w:top w:w="84" w:type="dxa"/>
              <w:left w:w="167" w:type="dxa"/>
              <w:bottom w:w="84" w:type="dxa"/>
              <w:right w:w="167" w:type="dxa"/>
            </w:tcMar>
            <w:vAlign w:val="center"/>
            <w:hideMark/>
          </w:tcPr>
          <w:p w14:paraId="4E3FB01E"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Rs.5 lakhs to Rs.6.33 lakhs</w:t>
            </w:r>
          </w:p>
        </w:tc>
        <w:tc>
          <w:tcPr>
            <w:tcW w:w="3960" w:type="dxa"/>
            <w:tcBorders>
              <w:top w:val="single" w:sz="6" w:space="0" w:color="DDDDDD"/>
              <w:left w:val="single" w:sz="6" w:space="0" w:color="DDDDDD"/>
              <w:bottom w:val="single" w:sz="6" w:space="0" w:color="DDDDDD"/>
              <w:right w:val="single" w:sz="6" w:space="0" w:color="DDDDDD"/>
            </w:tcBorders>
            <w:shd w:val="clear" w:color="auto" w:fill="F9F9F9"/>
            <w:tcMar>
              <w:top w:w="84" w:type="dxa"/>
              <w:left w:w="167" w:type="dxa"/>
              <w:bottom w:w="84" w:type="dxa"/>
              <w:right w:w="167" w:type="dxa"/>
            </w:tcMar>
            <w:vAlign w:val="center"/>
            <w:hideMark/>
          </w:tcPr>
          <w:p w14:paraId="7C543B19"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 xml:space="preserve">20% </w:t>
            </w:r>
            <w:proofErr w:type="gramStart"/>
            <w:r w:rsidRPr="008B6569">
              <w:rPr>
                <w:rFonts w:ascii="Bookman Old Style" w:eastAsia="Times New Roman" w:hAnsi="Bookman Old Style" w:cs="Tahoma"/>
                <w:sz w:val="24"/>
                <w:szCs w:val="24"/>
              </w:rPr>
              <w:t>of(</w:t>
            </w:r>
            <w:proofErr w:type="gramEnd"/>
            <w:r w:rsidRPr="008B6569">
              <w:rPr>
                <w:rFonts w:ascii="Bookman Old Style" w:eastAsia="Times New Roman" w:hAnsi="Bookman Old Style" w:cs="Tahoma"/>
                <w:sz w:val="24"/>
                <w:szCs w:val="24"/>
              </w:rPr>
              <w:t>Rs.6,33,00-Rs.5,00,00)</w:t>
            </w:r>
          </w:p>
        </w:tc>
        <w:tc>
          <w:tcPr>
            <w:tcW w:w="1716" w:type="dxa"/>
            <w:tcBorders>
              <w:top w:val="single" w:sz="6" w:space="0" w:color="DDDDDD"/>
              <w:left w:val="single" w:sz="6" w:space="0" w:color="DDDDDD"/>
              <w:bottom w:val="single" w:sz="6" w:space="0" w:color="DDDDDD"/>
              <w:right w:val="single" w:sz="6" w:space="0" w:color="DDDDDD"/>
            </w:tcBorders>
            <w:shd w:val="clear" w:color="auto" w:fill="F9F9F9"/>
            <w:tcMar>
              <w:top w:w="84" w:type="dxa"/>
              <w:left w:w="167" w:type="dxa"/>
              <w:bottom w:w="84" w:type="dxa"/>
              <w:right w:w="167" w:type="dxa"/>
            </w:tcMar>
            <w:vAlign w:val="center"/>
            <w:hideMark/>
          </w:tcPr>
          <w:p w14:paraId="466C23DF" w14:textId="77777777" w:rsidR="00FD3617" w:rsidRPr="008B6569" w:rsidRDefault="00FD3617" w:rsidP="00FD3617">
            <w:pPr>
              <w:spacing w:after="0" w:line="240" w:lineRule="auto"/>
              <w:rPr>
                <w:rFonts w:ascii="Bookman Old Style" w:eastAsia="Times New Roman" w:hAnsi="Bookman Old Style" w:cs="Tahoma"/>
                <w:sz w:val="24"/>
                <w:szCs w:val="24"/>
              </w:rPr>
            </w:pPr>
            <w:r w:rsidRPr="008B6569">
              <w:rPr>
                <w:rFonts w:ascii="Bookman Old Style" w:eastAsia="Times New Roman" w:hAnsi="Bookman Old Style" w:cs="Tahoma"/>
                <w:sz w:val="24"/>
                <w:szCs w:val="24"/>
              </w:rPr>
              <w:t>Rs.26,600</w:t>
            </w:r>
          </w:p>
        </w:tc>
      </w:tr>
    </w:tbl>
    <w:p w14:paraId="142C4A64" w14:textId="77777777" w:rsidR="00FD3617" w:rsidRPr="008B6569" w:rsidRDefault="00FD3617">
      <w:pPr>
        <w:rPr>
          <w:rFonts w:ascii="Bookman Old Style" w:hAnsi="Bookman Old Style" w:cs="Tahoma"/>
          <w:sz w:val="24"/>
          <w:szCs w:val="24"/>
        </w:rPr>
      </w:pPr>
    </w:p>
    <w:sectPr w:rsidR="00FD3617" w:rsidRPr="008B6569" w:rsidSect="008B6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E61BB"/>
    <w:multiLevelType w:val="hybridMultilevel"/>
    <w:tmpl w:val="BBFEB6CE"/>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1" w15:restartNumberingAfterBreak="0">
    <w:nsid w:val="394717B4"/>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F30A1"/>
    <w:multiLevelType w:val="hybridMultilevel"/>
    <w:tmpl w:val="A37EBE8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BF90628"/>
    <w:multiLevelType w:val="hybridMultilevel"/>
    <w:tmpl w:val="C7EA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91CC4"/>
    <w:multiLevelType w:val="hybridMultilevel"/>
    <w:tmpl w:val="6F36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958D8"/>
    <w:multiLevelType w:val="hybridMultilevel"/>
    <w:tmpl w:val="4828A3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03963"/>
    <w:multiLevelType w:val="hybridMultilevel"/>
    <w:tmpl w:val="A9F21DE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194171"/>
    <w:multiLevelType w:val="hybridMultilevel"/>
    <w:tmpl w:val="A77A8534"/>
    <w:lvl w:ilvl="0" w:tplc="0409000F">
      <w:start w:val="1"/>
      <w:numFmt w:val="decimal"/>
      <w:lvlText w:val="%1."/>
      <w:lvlJc w:val="left"/>
      <w:pPr>
        <w:ind w:left="611" w:hanging="360"/>
      </w:p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8" w15:restartNumberingAfterBreak="0">
    <w:nsid w:val="79C84C3D"/>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83F07"/>
    <w:multiLevelType w:val="hybridMultilevel"/>
    <w:tmpl w:val="20D6FFF0"/>
    <w:lvl w:ilvl="0" w:tplc="0409000B">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num w:numId="1">
    <w:abstractNumId w:val="1"/>
  </w:num>
  <w:num w:numId="2">
    <w:abstractNumId w:val="8"/>
  </w:num>
  <w:num w:numId="3">
    <w:abstractNumId w:val="9"/>
  </w:num>
  <w:num w:numId="4">
    <w:abstractNumId w:val="4"/>
  </w:num>
  <w:num w:numId="5">
    <w:abstractNumId w:val="3"/>
  </w:num>
  <w:num w:numId="6">
    <w:abstractNumId w:val="7"/>
  </w:num>
  <w:num w:numId="7">
    <w:abstractNumId w:val="5"/>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S2MLE0sDA2NTIyNzNQ0lEKTi0uzszPAykwrAUAMeM/BywAAAA="/>
  </w:docVars>
  <w:rsids>
    <w:rsidRoot w:val="00235FB5"/>
    <w:rsid w:val="000748BE"/>
    <w:rsid w:val="00102A68"/>
    <w:rsid w:val="00235FB5"/>
    <w:rsid w:val="00260AE7"/>
    <w:rsid w:val="0029524B"/>
    <w:rsid w:val="003A6077"/>
    <w:rsid w:val="004947E8"/>
    <w:rsid w:val="00552422"/>
    <w:rsid w:val="00780288"/>
    <w:rsid w:val="008B6569"/>
    <w:rsid w:val="00FD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8701"/>
  <w15:docId w15:val="{54DBC928-D4CB-4FDD-A7CF-48953557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AE7"/>
  </w:style>
  <w:style w:type="paragraph" w:styleId="Heading2">
    <w:name w:val="heading 2"/>
    <w:basedOn w:val="Normal"/>
    <w:link w:val="Heading2Char"/>
    <w:uiPriority w:val="9"/>
    <w:qFormat/>
    <w:rsid w:val="00FD3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36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36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3617"/>
    <w:rPr>
      <w:color w:val="0000FF"/>
      <w:u w:val="single"/>
    </w:rPr>
  </w:style>
  <w:style w:type="character" w:styleId="Strong">
    <w:name w:val="Strong"/>
    <w:basedOn w:val="DefaultParagraphFont"/>
    <w:uiPriority w:val="22"/>
    <w:qFormat/>
    <w:rsid w:val="00FD3617"/>
    <w:rPr>
      <w:b/>
      <w:bCs/>
    </w:rPr>
  </w:style>
  <w:style w:type="paragraph" w:styleId="ListParagraph">
    <w:name w:val="List Paragraph"/>
    <w:basedOn w:val="Normal"/>
    <w:uiPriority w:val="34"/>
    <w:qFormat/>
    <w:rsid w:val="00FD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846014">
      <w:bodyDiv w:val="1"/>
      <w:marLeft w:val="0"/>
      <w:marRight w:val="0"/>
      <w:marTop w:val="0"/>
      <w:marBottom w:val="0"/>
      <w:divBdr>
        <w:top w:val="none" w:sz="0" w:space="0" w:color="auto"/>
        <w:left w:val="none" w:sz="0" w:space="0" w:color="auto"/>
        <w:bottom w:val="none" w:sz="0" w:space="0" w:color="auto"/>
        <w:right w:val="none" w:sz="0" w:space="0" w:color="auto"/>
      </w:divBdr>
      <w:divsChild>
        <w:div w:id="200639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kbazaar.com/tax/taxable-inc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kbazaar.com/tax/house-rent-allowance.html" TargetMode="External"/><Relationship Id="rId5" Type="http://schemas.openxmlformats.org/officeDocument/2006/relationships/hyperlink" Target="https://www.bankbazaar.com/tax/all-about-td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Yogesh Naidu</cp:lastModifiedBy>
  <cp:revision>10</cp:revision>
  <dcterms:created xsi:type="dcterms:W3CDTF">2019-03-22T12:58:00Z</dcterms:created>
  <dcterms:modified xsi:type="dcterms:W3CDTF">2019-10-04T12:53:00Z</dcterms:modified>
</cp:coreProperties>
</file>